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D68FC" w14:textId="77777777" w:rsidR="00384663" w:rsidRDefault="00140213">
      <w:pPr>
        <w:widowControl w:val="0"/>
        <w:adjustRightInd/>
        <w:snapToGrid/>
        <w:spacing w:after="0" w:line="360" w:lineRule="auto"/>
        <w:jc w:val="center"/>
        <w:rPr>
          <w:rFonts w:ascii="宋体" w:eastAsia="宋体" w:hAnsi="宋体"/>
          <w:b/>
          <w:bCs/>
          <w:kern w:val="2"/>
          <w:sz w:val="32"/>
          <w:szCs w:val="32"/>
        </w:rPr>
      </w:pPr>
      <w:r>
        <w:rPr>
          <w:rFonts w:ascii="宋体" w:eastAsia="宋体" w:hAnsi="宋体" w:hint="eastAsia"/>
          <w:b/>
          <w:bCs/>
          <w:kern w:val="2"/>
          <w:sz w:val="32"/>
          <w:szCs w:val="32"/>
        </w:rPr>
        <w:t>中南大学化学电源湖南省重点实验室第一届学术委员会及化学电源学术与产业发展论坛成功召开</w:t>
      </w:r>
    </w:p>
    <w:p w14:paraId="75E184A1" w14:textId="13662945" w:rsidR="00384663" w:rsidRDefault="00140213">
      <w:pPr>
        <w:spacing w:beforeLines="50" w:before="120" w:line="360" w:lineRule="auto"/>
        <w:ind w:firstLine="482"/>
        <w:jc w:val="both"/>
        <w:rPr>
          <w:rFonts w:ascii="Times New Roman" w:eastAsia="宋体" w:hAnsi="Times New Roman"/>
          <w:sz w:val="24"/>
          <w:szCs w:val="24"/>
        </w:rPr>
      </w:pPr>
      <w:r>
        <w:rPr>
          <w:rFonts w:ascii="Times New Roman" w:eastAsia="宋体" w:hAnsi="Times New Roman" w:hint="eastAsia"/>
          <w:sz w:val="24"/>
          <w:szCs w:val="24"/>
        </w:rPr>
        <w:t>2019</w:t>
      </w:r>
      <w:r>
        <w:rPr>
          <w:rFonts w:ascii="Times New Roman" w:eastAsia="宋体" w:hAnsi="Times New Roman" w:hint="eastAsia"/>
          <w:sz w:val="24"/>
          <w:szCs w:val="24"/>
        </w:rPr>
        <w:t>年</w:t>
      </w:r>
      <w:r>
        <w:rPr>
          <w:rFonts w:ascii="Times New Roman" w:eastAsia="宋体" w:hAnsi="Times New Roman" w:hint="eastAsia"/>
          <w:sz w:val="24"/>
          <w:szCs w:val="24"/>
        </w:rPr>
        <w:t>6</w:t>
      </w:r>
      <w:r>
        <w:rPr>
          <w:rFonts w:ascii="Times New Roman" w:eastAsia="宋体" w:hAnsi="Times New Roman" w:hint="eastAsia"/>
          <w:sz w:val="24"/>
          <w:szCs w:val="24"/>
        </w:rPr>
        <w:t>月</w:t>
      </w:r>
      <w:r>
        <w:rPr>
          <w:rFonts w:ascii="Times New Roman" w:eastAsia="宋体" w:hAnsi="Times New Roman" w:hint="eastAsia"/>
          <w:sz w:val="24"/>
          <w:szCs w:val="24"/>
        </w:rPr>
        <w:t>21</w:t>
      </w:r>
      <w:r>
        <w:rPr>
          <w:rFonts w:ascii="Times New Roman" w:eastAsia="宋体" w:hAnsi="Times New Roman" w:hint="eastAsia"/>
          <w:sz w:val="24"/>
          <w:szCs w:val="24"/>
        </w:rPr>
        <w:t>日上午</w:t>
      </w:r>
      <w:r>
        <w:rPr>
          <w:rFonts w:ascii="Times New Roman" w:eastAsia="宋体" w:hAnsi="Times New Roman" w:hint="eastAsia"/>
          <w:sz w:val="24"/>
          <w:szCs w:val="24"/>
        </w:rPr>
        <w:t>9</w:t>
      </w:r>
      <w:r>
        <w:rPr>
          <w:rFonts w:ascii="Times New Roman" w:eastAsia="宋体" w:hAnsi="Times New Roman" w:hint="eastAsia"/>
          <w:sz w:val="24"/>
          <w:szCs w:val="24"/>
        </w:rPr>
        <w:t>点，化学电源学术与产业</w:t>
      </w:r>
      <w:r w:rsidR="0082103E">
        <w:rPr>
          <w:rFonts w:ascii="Times New Roman" w:eastAsia="宋体" w:hAnsi="Times New Roman" w:hint="eastAsia"/>
          <w:sz w:val="24"/>
          <w:szCs w:val="24"/>
        </w:rPr>
        <w:t>发展</w:t>
      </w:r>
      <w:r>
        <w:rPr>
          <w:rFonts w:ascii="Times New Roman" w:eastAsia="宋体" w:hAnsi="Times New Roman" w:hint="eastAsia"/>
          <w:sz w:val="24"/>
          <w:szCs w:val="24"/>
        </w:rPr>
        <w:t>论坛</w:t>
      </w:r>
      <w:r>
        <w:rPr>
          <w:rFonts w:ascii="Times New Roman" w:eastAsia="宋体" w:hAnsi="Times New Roman"/>
          <w:sz w:val="24"/>
          <w:szCs w:val="24"/>
        </w:rPr>
        <w:t>暨湖南省电池产业联盟年会</w:t>
      </w:r>
      <w:r>
        <w:rPr>
          <w:rFonts w:ascii="Times New Roman" w:eastAsia="宋体" w:hAnsi="Times New Roman" w:hint="eastAsia"/>
          <w:sz w:val="24"/>
          <w:szCs w:val="24"/>
        </w:rPr>
        <w:t>在</w:t>
      </w:r>
      <w:r>
        <w:rPr>
          <w:rFonts w:ascii="Times New Roman" w:eastAsia="宋体" w:hAnsi="Times New Roman"/>
          <w:sz w:val="24"/>
          <w:szCs w:val="24"/>
        </w:rPr>
        <w:t>中南大学新校区</w:t>
      </w:r>
      <w:proofErr w:type="gramStart"/>
      <w:r>
        <w:rPr>
          <w:rFonts w:ascii="Times New Roman" w:eastAsia="宋体" w:hAnsi="Times New Roman"/>
          <w:sz w:val="24"/>
          <w:szCs w:val="24"/>
        </w:rPr>
        <w:t>化学楼</w:t>
      </w:r>
      <w:proofErr w:type="gramEnd"/>
      <w:r>
        <w:rPr>
          <w:rFonts w:ascii="Times New Roman" w:eastAsia="宋体" w:hAnsi="Times New Roman" w:hint="eastAsia"/>
          <w:sz w:val="24"/>
          <w:szCs w:val="24"/>
        </w:rPr>
        <w:t>133</w:t>
      </w:r>
      <w:r>
        <w:rPr>
          <w:rFonts w:ascii="Times New Roman" w:eastAsia="宋体" w:hAnsi="Times New Roman" w:hint="eastAsia"/>
          <w:sz w:val="24"/>
          <w:szCs w:val="24"/>
        </w:rPr>
        <w:t>报告厅</w:t>
      </w:r>
      <w:r>
        <w:rPr>
          <w:rFonts w:ascii="Times New Roman" w:eastAsia="宋体" w:hAnsi="Times New Roman"/>
          <w:sz w:val="24"/>
          <w:szCs w:val="24"/>
        </w:rPr>
        <w:t>隆重开幕</w:t>
      </w:r>
      <w:r>
        <w:rPr>
          <w:rFonts w:ascii="Times New Roman" w:eastAsia="宋体" w:hAnsi="Times New Roman" w:hint="eastAsia"/>
          <w:sz w:val="24"/>
          <w:szCs w:val="24"/>
        </w:rPr>
        <w:t>，</w:t>
      </w:r>
      <w:r>
        <w:rPr>
          <w:rFonts w:ascii="Times New Roman" w:eastAsia="宋体" w:hAnsi="Times New Roman"/>
          <w:sz w:val="24"/>
          <w:szCs w:val="24"/>
        </w:rPr>
        <w:t>会议</w:t>
      </w:r>
      <w:r>
        <w:rPr>
          <w:rFonts w:ascii="Times New Roman" w:eastAsia="宋体" w:hAnsi="Times New Roman" w:hint="eastAsia"/>
          <w:sz w:val="24"/>
          <w:szCs w:val="24"/>
        </w:rPr>
        <w:t>由中南大学唐有根教授主持。</w:t>
      </w:r>
      <w:r>
        <w:rPr>
          <w:rFonts w:ascii="Times New Roman" w:eastAsia="宋体" w:hAnsi="Times New Roman"/>
          <w:sz w:val="24"/>
          <w:szCs w:val="24"/>
        </w:rPr>
        <w:t>湖南省工信厅、湖南省科技厅和长沙市科技局等领导出席会议，</w:t>
      </w:r>
      <w:r>
        <w:rPr>
          <w:rFonts w:ascii="Times New Roman" w:eastAsia="宋体" w:hAnsi="Times New Roman" w:hint="eastAsia"/>
          <w:sz w:val="24"/>
          <w:szCs w:val="24"/>
        </w:rPr>
        <w:t>新能源领域多名专家教授和业内知名企业家参</w:t>
      </w:r>
      <w:r>
        <w:rPr>
          <w:rFonts w:ascii="Times New Roman" w:eastAsia="宋体" w:hAnsi="Times New Roman"/>
          <w:sz w:val="24"/>
          <w:szCs w:val="24"/>
        </w:rPr>
        <w:t>加</w:t>
      </w:r>
      <w:r>
        <w:rPr>
          <w:rFonts w:ascii="Times New Roman" w:eastAsia="宋体" w:hAnsi="Times New Roman" w:hint="eastAsia"/>
          <w:sz w:val="24"/>
          <w:szCs w:val="24"/>
        </w:rPr>
        <w:t>了此次论坛。厦门大学杨勇教授、清华大学张强教授、南开大学周震教授、中南大学余琨教授和</w:t>
      </w:r>
      <w:proofErr w:type="gramStart"/>
      <w:r>
        <w:rPr>
          <w:rFonts w:ascii="Times New Roman" w:eastAsia="宋体" w:hAnsi="Times New Roman" w:hint="eastAsia"/>
          <w:sz w:val="24"/>
          <w:szCs w:val="24"/>
        </w:rPr>
        <w:t>威胜</w:t>
      </w:r>
      <w:proofErr w:type="gramEnd"/>
      <w:r>
        <w:rPr>
          <w:rFonts w:ascii="Times New Roman" w:eastAsia="宋体" w:hAnsi="Times New Roman" w:hint="eastAsia"/>
          <w:sz w:val="24"/>
          <w:szCs w:val="24"/>
        </w:rPr>
        <w:t>信息技术股份有限公司董事长王学信分别作了精彩的报告，报告内容</w:t>
      </w:r>
      <w:proofErr w:type="gramStart"/>
      <w:r>
        <w:rPr>
          <w:rFonts w:ascii="Times New Roman" w:eastAsia="宋体" w:hAnsi="Times New Roman" w:hint="eastAsia"/>
          <w:sz w:val="24"/>
          <w:szCs w:val="24"/>
        </w:rPr>
        <w:t>包括高镍三元</w:t>
      </w:r>
      <w:proofErr w:type="gramEnd"/>
      <w:r>
        <w:rPr>
          <w:rFonts w:ascii="Times New Roman" w:eastAsia="宋体" w:hAnsi="Times New Roman" w:hint="eastAsia"/>
          <w:sz w:val="24"/>
          <w:szCs w:val="24"/>
        </w:rPr>
        <w:t>材料的结构演化及界面特性研究、高安全</w:t>
      </w:r>
      <w:proofErr w:type="gramStart"/>
      <w:r>
        <w:rPr>
          <w:rFonts w:ascii="Times New Roman" w:eastAsia="宋体" w:hAnsi="Times New Roman" w:hint="eastAsia"/>
          <w:sz w:val="24"/>
          <w:szCs w:val="24"/>
        </w:rPr>
        <w:t>锂</w:t>
      </w:r>
      <w:proofErr w:type="gramEnd"/>
      <w:r>
        <w:rPr>
          <w:rFonts w:ascii="Times New Roman" w:eastAsia="宋体" w:hAnsi="Times New Roman" w:hint="eastAsia"/>
          <w:sz w:val="24"/>
          <w:szCs w:val="24"/>
        </w:rPr>
        <w:t>金属负极研究、可充电</w:t>
      </w:r>
      <w:r>
        <w:rPr>
          <w:rFonts w:ascii="Times New Roman" w:eastAsia="宋体" w:hAnsi="Times New Roman" w:hint="eastAsia"/>
          <w:sz w:val="24"/>
          <w:szCs w:val="24"/>
        </w:rPr>
        <w:t>Li-CO</w:t>
      </w:r>
      <w:r>
        <w:rPr>
          <w:rFonts w:ascii="Times New Roman" w:eastAsia="宋体" w:hAnsi="Times New Roman" w:hint="eastAsia"/>
          <w:sz w:val="24"/>
          <w:szCs w:val="24"/>
          <w:vertAlign w:val="subscript"/>
        </w:rPr>
        <w:t>2</w:t>
      </w:r>
      <w:r>
        <w:rPr>
          <w:rFonts w:ascii="Times New Roman" w:eastAsia="宋体" w:hAnsi="Times New Roman" w:hint="eastAsia"/>
          <w:sz w:val="24"/>
          <w:szCs w:val="24"/>
        </w:rPr>
        <w:t>电池的机遇与挑战、镁空气电池负极材料的研制开发与应用、配套氢燃料电池输出的重要部件—大功率升压</w:t>
      </w:r>
      <w:r>
        <w:rPr>
          <w:rFonts w:ascii="Times New Roman" w:eastAsia="宋体" w:hAnsi="Times New Roman" w:hint="eastAsia"/>
          <w:sz w:val="24"/>
          <w:szCs w:val="24"/>
        </w:rPr>
        <w:t>DCDC</w:t>
      </w:r>
      <w:r>
        <w:rPr>
          <w:rFonts w:ascii="Times New Roman" w:eastAsia="宋体" w:hAnsi="Times New Roman" w:hint="eastAsia"/>
          <w:sz w:val="24"/>
          <w:szCs w:val="24"/>
        </w:rPr>
        <w:t>变换器研究，为化学电源的</w:t>
      </w:r>
      <w:r>
        <w:rPr>
          <w:rFonts w:ascii="Times New Roman" w:eastAsia="宋体" w:hAnsi="Times New Roman"/>
          <w:sz w:val="24"/>
          <w:szCs w:val="24"/>
        </w:rPr>
        <w:t>研究开发和</w:t>
      </w:r>
      <w:r>
        <w:rPr>
          <w:rFonts w:ascii="Times New Roman" w:eastAsia="宋体" w:hAnsi="Times New Roman" w:hint="eastAsia"/>
          <w:sz w:val="24"/>
          <w:szCs w:val="24"/>
        </w:rPr>
        <w:t>发展应用提供了新的思路。下午李亚栋院士就单原子催化的发展与工业化挑战作了精彩的</w:t>
      </w:r>
      <w:r>
        <w:rPr>
          <w:rFonts w:ascii="Times New Roman" w:eastAsia="宋体" w:hAnsi="Times New Roman"/>
          <w:sz w:val="24"/>
          <w:szCs w:val="24"/>
        </w:rPr>
        <w:t>分享</w:t>
      </w:r>
      <w:r>
        <w:rPr>
          <w:rFonts w:ascii="Times New Roman" w:eastAsia="宋体" w:hAnsi="Times New Roman" w:hint="eastAsia"/>
          <w:sz w:val="24"/>
          <w:szCs w:val="24"/>
        </w:rPr>
        <w:t>，对燃料电池的研究和商业化应用具有重要的指导意义，给化学电源学术与产业发展论坛</w:t>
      </w:r>
      <w:r w:rsidR="006B0EDD">
        <w:rPr>
          <w:rFonts w:ascii="Times New Roman" w:eastAsia="宋体" w:hAnsi="Times New Roman" w:hint="eastAsia"/>
          <w:sz w:val="24"/>
          <w:szCs w:val="24"/>
        </w:rPr>
        <w:t>增添</w:t>
      </w:r>
      <w:r>
        <w:rPr>
          <w:rFonts w:ascii="Times New Roman" w:eastAsia="宋体" w:hAnsi="Times New Roman"/>
          <w:sz w:val="24"/>
          <w:szCs w:val="24"/>
        </w:rPr>
        <w:t>了浓墨重彩</w:t>
      </w:r>
      <w:r>
        <w:rPr>
          <w:rFonts w:ascii="Times New Roman" w:eastAsia="宋体" w:hAnsi="Times New Roman" w:hint="eastAsia"/>
          <w:sz w:val="24"/>
          <w:szCs w:val="24"/>
        </w:rPr>
        <w:t>。</w:t>
      </w:r>
    </w:p>
    <w:p w14:paraId="0036BB17" w14:textId="77E7B76E" w:rsidR="00384663" w:rsidRDefault="00140213" w:rsidP="00833928">
      <w:pPr>
        <w:spacing w:beforeLines="50" w:before="120" w:line="360" w:lineRule="auto"/>
        <w:jc w:val="center"/>
        <w:rPr>
          <w:rFonts w:ascii="Times New Roman" w:eastAsia="宋体" w:hAnsi="Times New Roman"/>
          <w:sz w:val="24"/>
          <w:szCs w:val="24"/>
        </w:rPr>
      </w:pPr>
      <w:r>
        <w:rPr>
          <w:noProof/>
        </w:rPr>
        <w:drawing>
          <wp:inline distT="0" distB="0" distL="0" distR="0" wp14:anchorId="566A4317" wp14:editId="459CB208">
            <wp:extent cx="4680000" cy="3119812"/>
            <wp:effectExtent l="0" t="0" r="0" b="0"/>
            <wp:docPr id="102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6" cstate="print"/>
                    <a:srcRect/>
                    <a:stretch/>
                  </pic:blipFill>
                  <pic:spPr>
                    <a:xfrm>
                      <a:off x="0" y="0"/>
                      <a:ext cx="4680000" cy="3119812"/>
                    </a:xfrm>
                    <a:prstGeom prst="rect">
                      <a:avLst/>
                    </a:prstGeom>
                    <a:ln>
                      <a:noFill/>
                    </a:ln>
                  </pic:spPr>
                </pic:pic>
              </a:graphicData>
            </a:graphic>
          </wp:inline>
        </w:drawing>
      </w:r>
    </w:p>
    <w:p w14:paraId="4EB412F5" w14:textId="1DE377FD" w:rsidR="00384663" w:rsidRDefault="00140213">
      <w:pPr>
        <w:spacing w:beforeLines="50" w:before="120" w:line="360" w:lineRule="auto"/>
        <w:ind w:firstLine="482"/>
        <w:jc w:val="both"/>
        <w:rPr>
          <w:rFonts w:ascii="Times New Roman" w:eastAsia="宋体" w:hAnsi="Times New Roman"/>
          <w:sz w:val="24"/>
          <w:szCs w:val="24"/>
        </w:rPr>
      </w:pPr>
      <w:r>
        <w:rPr>
          <w:rFonts w:ascii="Times New Roman" w:eastAsia="宋体" w:hAnsi="Times New Roman" w:hint="eastAsia"/>
          <w:sz w:val="24"/>
          <w:szCs w:val="24"/>
        </w:rPr>
        <w:t>下午</w:t>
      </w:r>
      <w:r>
        <w:rPr>
          <w:rFonts w:ascii="Times New Roman" w:eastAsia="宋体" w:hAnsi="Times New Roman" w:hint="eastAsia"/>
          <w:sz w:val="24"/>
          <w:szCs w:val="24"/>
        </w:rPr>
        <w:t>15</w:t>
      </w:r>
      <w:r>
        <w:rPr>
          <w:rFonts w:ascii="Times New Roman" w:eastAsia="宋体" w:hAnsi="Times New Roman" w:hint="eastAsia"/>
          <w:sz w:val="24"/>
          <w:szCs w:val="24"/>
        </w:rPr>
        <w:t>：</w:t>
      </w:r>
      <w:r>
        <w:rPr>
          <w:rFonts w:ascii="Times New Roman" w:eastAsia="宋体" w:hAnsi="Times New Roman" w:hint="eastAsia"/>
          <w:sz w:val="24"/>
          <w:szCs w:val="24"/>
        </w:rPr>
        <w:t>30</w:t>
      </w:r>
      <w:r>
        <w:rPr>
          <w:rFonts w:ascii="Times New Roman" w:eastAsia="宋体" w:hAnsi="Times New Roman" w:hint="eastAsia"/>
          <w:sz w:val="24"/>
          <w:szCs w:val="24"/>
        </w:rPr>
        <w:t>，中南大学化学电源湖南省重点实验室第一届学术委员会研讨会在</w:t>
      </w:r>
      <w:r>
        <w:rPr>
          <w:rFonts w:ascii="Times New Roman" w:eastAsia="宋体" w:hAnsi="Times New Roman"/>
          <w:sz w:val="24"/>
          <w:szCs w:val="24"/>
        </w:rPr>
        <w:t>中南大学新校区</w:t>
      </w:r>
      <w:proofErr w:type="gramStart"/>
      <w:r>
        <w:rPr>
          <w:rFonts w:ascii="Times New Roman" w:eastAsia="宋体" w:hAnsi="Times New Roman"/>
          <w:sz w:val="24"/>
          <w:szCs w:val="24"/>
        </w:rPr>
        <w:t>化学楼</w:t>
      </w:r>
      <w:proofErr w:type="gramEnd"/>
      <w:r>
        <w:rPr>
          <w:rFonts w:ascii="Times New Roman" w:eastAsia="宋体" w:hAnsi="Times New Roman" w:hint="eastAsia"/>
          <w:sz w:val="24"/>
          <w:szCs w:val="24"/>
        </w:rPr>
        <w:t>230</w:t>
      </w:r>
      <w:r>
        <w:rPr>
          <w:rFonts w:ascii="Times New Roman" w:eastAsia="宋体" w:hAnsi="Times New Roman" w:hint="eastAsia"/>
          <w:sz w:val="24"/>
          <w:szCs w:val="24"/>
        </w:rPr>
        <w:t>会议室成功召开。</w:t>
      </w:r>
      <w:r>
        <w:rPr>
          <w:rFonts w:ascii="Times New Roman" w:eastAsia="宋体" w:hAnsi="Times New Roman"/>
          <w:sz w:val="24"/>
          <w:szCs w:val="24"/>
        </w:rPr>
        <w:t>清华大学</w:t>
      </w:r>
      <w:r>
        <w:rPr>
          <w:rFonts w:ascii="Times New Roman" w:eastAsia="宋体" w:hAnsi="Times New Roman" w:hint="eastAsia"/>
          <w:sz w:val="24"/>
          <w:szCs w:val="24"/>
        </w:rPr>
        <w:t>李亚栋院士、</w:t>
      </w:r>
      <w:r>
        <w:rPr>
          <w:rFonts w:ascii="Times New Roman" w:eastAsia="宋体" w:hAnsi="Times New Roman"/>
          <w:sz w:val="24"/>
          <w:szCs w:val="24"/>
        </w:rPr>
        <w:t>南开大学</w:t>
      </w:r>
      <w:r>
        <w:rPr>
          <w:rFonts w:ascii="Times New Roman" w:eastAsia="宋体" w:hAnsi="Times New Roman" w:hint="eastAsia"/>
          <w:sz w:val="24"/>
          <w:szCs w:val="24"/>
        </w:rPr>
        <w:t>陈军院士</w:t>
      </w:r>
      <w:r>
        <w:rPr>
          <w:rFonts w:ascii="Times New Roman" w:eastAsia="宋体" w:hAnsi="Times New Roman"/>
          <w:sz w:val="24"/>
          <w:szCs w:val="24"/>
        </w:rPr>
        <w:t>、北京大学夏定国教授、厦门大学杨勇教授、湘潭大学王先友教</w:t>
      </w:r>
      <w:r>
        <w:rPr>
          <w:rFonts w:ascii="Times New Roman" w:eastAsia="宋体" w:hAnsi="Times New Roman"/>
          <w:sz w:val="24"/>
          <w:szCs w:val="24"/>
        </w:rPr>
        <w:lastRenderedPageBreak/>
        <w:t>授等</w:t>
      </w:r>
      <w:r>
        <w:rPr>
          <w:rFonts w:ascii="Times New Roman" w:eastAsia="宋体" w:hAnsi="Times New Roman" w:hint="eastAsia"/>
          <w:sz w:val="24"/>
          <w:szCs w:val="24"/>
        </w:rPr>
        <w:t>8</w:t>
      </w:r>
      <w:r>
        <w:rPr>
          <w:rFonts w:ascii="Times New Roman" w:eastAsia="宋体" w:hAnsi="Times New Roman"/>
          <w:sz w:val="24"/>
          <w:szCs w:val="24"/>
        </w:rPr>
        <w:t>名学术委员会委员出席会议</w:t>
      </w:r>
      <w:r>
        <w:rPr>
          <w:rFonts w:ascii="Times New Roman" w:hAnsi="Times New Roman"/>
          <w:sz w:val="24"/>
          <w:szCs w:val="24"/>
        </w:rPr>
        <w:t>，</w:t>
      </w:r>
      <w:r>
        <w:rPr>
          <w:rFonts w:ascii="Times New Roman" w:eastAsia="宋体" w:hAnsi="Times New Roman"/>
          <w:sz w:val="24"/>
          <w:szCs w:val="24"/>
        </w:rPr>
        <w:t>学术委员会主任陈立泉院士因身体原因特委托中国科学院物理研究所王兆翔教授代为出席</w:t>
      </w:r>
      <w:r>
        <w:rPr>
          <w:rFonts w:ascii="Times New Roman" w:eastAsia="宋体" w:hAnsi="Times New Roman" w:hint="eastAsia"/>
          <w:sz w:val="24"/>
          <w:szCs w:val="24"/>
        </w:rPr>
        <w:t>。</w:t>
      </w:r>
      <w:r>
        <w:rPr>
          <w:rFonts w:ascii="Times New Roman" w:eastAsia="宋体" w:hAnsi="Times New Roman" w:hint="eastAsia"/>
          <w:color w:val="000000"/>
          <w:sz w:val="24"/>
          <w:szCs w:val="24"/>
        </w:rPr>
        <w:t>湖南省科技厅</w:t>
      </w:r>
      <w:r>
        <w:rPr>
          <w:rFonts w:ascii="Times New Roman" w:eastAsia="宋体" w:hAnsi="Times New Roman"/>
          <w:color w:val="000000"/>
          <w:sz w:val="24"/>
          <w:szCs w:val="24"/>
        </w:rPr>
        <w:t>党组成员、省外国专家局</w:t>
      </w:r>
      <w:r>
        <w:rPr>
          <w:rFonts w:ascii="Times New Roman" w:eastAsia="宋体" w:hAnsi="Times New Roman" w:hint="eastAsia"/>
          <w:color w:val="000000"/>
          <w:sz w:val="24"/>
          <w:szCs w:val="24"/>
        </w:rPr>
        <w:t>谢春局长、</w:t>
      </w:r>
      <w:r>
        <w:rPr>
          <w:rFonts w:ascii="Times New Roman" w:eastAsia="宋体" w:hAnsi="Times New Roman"/>
          <w:color w:val="000000"/>
          <w:sz w:val="24"/>
          <w:szCs w:val="24"/>
        </w:rPr>
        <w:t>省科技</w:t>
      </w:r>
      <w:proofErr w:type="gramStart"/>
      <w:r>
        <w:rPr>
          <w:rFonts w:ascii="Times New Roman" w:eastAsia="宋体" w:hAnsi="Times New Roman"/>
          <w:color w:val="000000"/>
          <w:sz w:val="24"/>
          <w:szCs w:val="24"/>
        </w:rPr>
        <w:t>厅科研</w:t>
      </w:r>
      <w:proofErr w:type="gramEnd"/>
      <w:r>
        <w:rPr>
          <w:rFonts w:ascii="Times New Roman" w:eastAsia="宋体" w:hAnsi="Times New Roman"/>
          <w:color w:val="000000"/>
          <w:sz w:val="24"/>
          <w:szCs w:val="24"/>
        </w:rPr>
        <w:t>条件与基础研究处李捷副处长、</w:t>
      </w:r>
      <w:r>
        <w:rPr>
          <w:rFonts w:ascii="Times New Roman" w:eastAsia="宋体" w:hAnsi="Times New Roman" w:hint="eastAsia"/>
          <w:color w:val="000000"/>
          <w:sz w:val="24"/>
          <w:szCs w:val="24"/>
        </w:rPr>
        <w:t>中南大学郭学益副校长、中南大学化学化工学院刘又年院长、中南大学化学化工学院马跃如书记、</w:t>
      </w:r>
      <w:r>
        <w:rPr>
          <w:rFonts w:ascii="Times New Roman" w:eastAsia="宋体" w:hAnsi="Times New Roman" w:hint="eastAsia"/>
          <w:sz w:val="24"/>
          <w:szCs w:val="24"/>
        </w:rPr>
        <w:t>重点实验室主要管理人员及骨干科研人员</w:t>
      </w:r>
      <w:r>
        <w:rPr>
          <w:rFonts w:ascii="Times New Roman" w:eastAsia="宋体" w:hAnsi="Times New Roman"/>
          <w:sz w:val="24"/>
          <w:szCs w:val="24"/>
        </w:rPr>
        <w:t>参加会议</w:t>
      </w:r>
      <w:r>
        <w:rPr>
          <w:rFonts w:ascii="Times New Roman" w:eastAsia="宋体" w:hAnsi="Times New Roman" w:hint="eastAsia"/>
          <w:sz w:val="24"/>
          <w:szCs w:val="24"/>
        </w:rPr>
        <w:t>。</w:t>
      </w:r>
    </w:p>
    <w:p w14:paraId="35A1589E" w14:textId="26EDA267" w:rsidR="00296C20" w:rsidRDefault="00140213" w:rsidP="001256E9">
      <w:pPr>
        <w:spacing w:beforeLines="50" w:before="120" w:line="360" w:lineRule="auto"/>
        <w:jc w:val="center"/>
        <w:rPr>
          <w:rFonts w:ascii="宋体" w:eastAsia="宋体" w:hAnsi="宋体"/>
          <w:sz w:val="28"/>
          <w:szCs w:val="28"/>
        </w:rPr>
      </w:pPr>
      <w:r>
        <w:rPr>
          <w:rFonts w:ascii="宋体" w:eastAsia="宋体" w:hAnsi="宋体" w:hint="eastAsia"/>
          <w:noProof/>
          <w:sz w:val="28"/>
          <w:szCs w:val="28"/>
        </w:rPr>
        <w:drawing>
          <wp:inline distT="0" distB="0" distL="0" distR="0" wp14:anchorId="2766AD3B" wp14:editId="29107F7C">
            <wp:extent cx="4680000" cy="3119812"/>
            <wp:effectExtent l="0" t="0" r="0" b="0"/>
            <wp:docPr id="102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srcRect/>
                    <a:stretch/>
                  </pic:blipFill>
                  <pic:spPr>
                    <a:xfrm>
                      <a:off x="0" y="0"/>
                      <a:ext cx="4680000" cy="3119812"/>
                    </a:xfrm>
                    <a:prstGeom prst="rect">
                      <a:avLst/>
                    </a:prstGeom>
                  </pic:spPr>
                </pic:pic>
              </a:graphicData>
            </a:graphic>
          </wp:inline>
        </w:drawing>
      </w:r>
    </w:p>
    <w:p w14:paraId="057C188C" w14:textId="31DB371C" w:rsidR="00833928" w:rsidRDefault="00833928" w:rsidP="001256E9">
      <w:pPr>
        <w:spacing w:beforeLines="50" w:before="120" w:line="360" w:lineRule="auto"/>
        <w:jc w:val="center"/>
        <w:rPr>
          <w:rFonts w:ascii="宋体" w:eastAsia="宋体" w:hAnsi="宋体"/>
          <w:sz w:val="28"/>
          <w:szCs w:val="28"/>
        </w:rPr>
      </w:pPr>
      <w:r>
        <w:rPr>
          <w:noProof/>
        </w:rPr>
        <w:drawing>
          <wp:inline distT="0" distB="0" distL="0" distR="0" wp14:anchorId="62E9B17C" wp14:editId="00F2A670">
            <wp:extent cx="4680000" cy="370689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74" r="9682" b="4099"/>
                    <a:stretch/>
                  </pic:blipFill>
                  <pic:spPr bwMode="auto">
                    <a:xfrm>
                      <a:off x="0" y="0"/>
                      <a:ext cx="4680000" cy="3706896"/>
                    </a:xfrm>
                    <a:prstGeom prst="rect">
                      <a:avLst/>
                    </a:prstGeom>
                    <a:noFill/>
                    <a:ln>
                      <a:noFill/>
                    </a:ln>
                    <a:extLst>
                      <a:ext uri="{53640926-AAD7-44D8-BBD7-CCE9431645EC}">
                        <a14:shadowObscured xmlns:a14="http://schemas.microsoft.com/office/drawing/2010/main"/>
                      </a:ext>
                    </a:extLst>
                  </pic:spPr>
                </pic:pic>
              </a:graphicData>
            </a:graphic>
          </wp:inline>
        </w:drawing>
      </w:r>
    </w:p>
    <w:p w14:paraId="590E523A" w14:textId="5F26AF59" w:rsidR="00804241" w:rsidRDefault="00804241">
      <w:pPr>
        <w:spacing w:beforeLines="50" w:before="120" w:line="360" w:lineRule="auto"/>
        <w:jc w:val="center"/>
        <w:rPr>
          <w:rFonts w:ascii="宋体" w:eastAsia="宋体" w:hAnsi="宋体"/>
          <w:sz w:val="28"/>
          <w:szCs w:val="28"/>
        </w:rPr>
      </w:pPr>
      <w:r>
        <w:rPr>
          <w:noProof/>
        </w:rPr>
        <w:lastRenderedPageBreak/>
        <w:drawing>
          <wp:inline distT="0" distB="0" distL="0" distR="0" wp14:anchorId="471AA46D" wp14:editId="7497BA68">
            <wp:extent cx="4680000" cy="39146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01" t="7315" r="14038" b="8163"/>
                    <a:stretch/>
                  </pic:blipFill>
                  <pic:spPr bwMode="auto">
                    <a:xfrm>
                      <a:off x="0" y="0"/>
                      <a:ext cx="4680000" cy="3914638"/>
                    </a:xfrm>
                    <a:prstGeom prst="rect">
                      <a:avLst/>
                    </a:prstGeom>
                    <a:noFill/>
                    <a:ln>
                      <a:noFill/>
                    </a:ln>
                    <a:extLst>
                      <a:ext uri="{53640926-AAD7-44D8-BBD7-CCE9431645EC}">
                        <a14:shadowObscured xmlns:a14="http://schemas.microsoft.com/office/drawing/2010/main"/>
                      </a:ext>
                    </a:extLst>
                  </pic:spPr>
                </pic:pic>
              </a:graphicData>
            </a:graphic>
          </wp:inline>
        </w:drawing>
      </w:r>
    </w:p>
    <w:p w14:paraId="6A21D647" w14:textId="77777777" w:rsidR="00CA3CBC" w:rsidRDefault="00CA3CBC">
      <w:pPr>
        <w:spacing w:beforeLines="50" w:before="120" w:line="360" w:lineRule="auto"/>
        <w:jc w:val="center"/>
        <w:rPr>
          <w:rFonts w:ascii="宋体" w:eastAsia="宋体" w:hAnsi="宋体" w:hint="eastAsia"/>
          <w:sz w:val="28"/>
          <w:szCs w:val="28"/>
        </w:rPr>
      </w:pPr>
      <w:bookmarkStart w:id="0" w:name="_GoBack"/>
      <w:bookmarkEnd w:id="0"/>
    </w:p>
    <w:p w14:paraId="03A4E03C" w14:textId="304A5249" w:rsidR="00384663" w:rsidRDefault="00140213">
      <w:pPr>
        <w:spacing w:beforeLines="50" w:before="120" w:line="360" w:lineRule="auto"/>
        <w:ind w:firstLine="482"/>
        <w:jc w:val="both"/>
        <w:rPr>
          <w:rFonts w:ascii="Times New Roman" w:eastAsia="宋体" w:hAnsi="Times New Roman"/>
          <w:sz w:val="24"/>
          <w:szCs w:val="24"/>
        </w:rPr>
      </w:pPr>
      <w:r>
        <w:rPr>
          <w:rFonts w:ascii="Times New Roman" w:eastAsia="宋体" w:hAnsi="Times New Roman"/>
          <w:sz w:val="24"/>
          <w:szCs w:val="24"/>
        </w:rPr>
        <w:t>刘又年院长主持会议。</w:t>
      </w:r>
      <w:r>
        <w:rPr>
          <w:rFonts w:ascii="Times New Roman" w:eastAsia="宋体" w:hAnsi="Times New Roman" w:hint="eastAsia"/>
          <w:sz w:val="24"/>
          <w:szCs w:val="24"/>
        </w:rPr>
        <w:t>郭学益副校长发表讲话，对科技厅</w:t>
      </w:r>
      <w:r>
        <w:rPr>
          <w:rFonts w:ascii="Times New Roman" w:eastAsia="宋体" w:hAnsi="Times New Roman"/>
          <w:sz w:val="24"/>
          <w:szCs w:val="24"/>
        </w:rPr>
        <w:t>领导</w:t>
      </w:r>
      <w:r>
        <w:rPr>
          <w:rFonts w:ascii="Times New Roman" w:eastAsia="宋体" w:hAnsi="Times New Roman" w:hint="eastAsia"/>
          <w:sz w:val="24"/>
          <w:szCs w:val="24"/>
        </w:rPr>
        <w:t>和学术委员会委员的到来与支持表示感谢，希望重点实验室能够积极听取各位领导和专家的意见和建议，做好重点实验室的建设工作。谢春</w:t>
      </w:r>
      <w:r>
        <w:rPr>
          <w:rFonts w:ascii="Times New Roman" w:eastAsia="宋体" w:hAnsi="Times New Roman"/>
          <w:sz w:val="24"/>
          <w:szCs w:val="24"/>
        </w:rPr>
        <w:t>局</w:t>
      </w:r>
      <w:r>
        <w:rPr>
          <w:rFonts w:ascii="Times New Roman" w:eastAsia="宋体" w:hAnsi="Times New Roman" w:hint="eastAsia"/>
          <w:sz w:val="24"/>
          <w:szCs w:val="24"/>
        </w:rPr>
        <w:t>长发表讲话，希望重点实验室突出特色方向，深入开展基础研究和应用基础研究，做出具有原创性的科研成果。</w:t>
      </w:r>
      <w:r>
        <w:rPr>
          <w:rFonts w:ascii="Times New Roman" w:eastAsia="宋体" w:hAnsi="Times New Roman"/>
          <w:sz w:val="24"/>
          <w:szCs w:val="24"/>
        </w:rPr>
        <w:t>会议听取了重点实验室主任</w:t>
      </w:r>
      <w:r>
        <w:rPr>
          <w:rFonts w:ascii="Times New Roman" w:eastAsia="宋体" w:hAnsi="Times New Roman" w:hint="eastAsia"/>
          <w:sz w:val="24"/>
          <w:szCs w:val="24"/>
        </w:rPr>
        <w:t>唐有根</w:t>
      </w:r>
      <w:r>
        <w:rPr>
          <w:rFonts w:ascii="Times New Roman" w:eastAsia="宋体" w:hAnsi="Times New Roman"/>
          <w:sz w:val="24"/>
          <w:szCs w:val="24"/>
        </w:rPr>
        <w:t>教授所作的</w:t>
      </w:r>
      <w:r>
        <w:rPr>
          <w:rFonts w:ascii="Times New Roman" w:eastAsia="宋体" w:hAnsi="Times New Roman" w:hint="eastAsia"/>
          <w:sz w:val="24"/>
          <w:szCs w:val="24"/>
        </w:rPr>
        <w:t>重点实验室自科技厅批准立项建设以来的工作</w:t>
      </w:r>
      <w:r>
        <w:rPr>
          <w:rFonts w:ascii="Times New Roman" w:eastAsia="宋体" w:hAnsi="Times New Roman"/>
          <w:sz w:val="24"/>
          <w:szCs w:val="24"/>
        </w:rPr>
        <w:t>总结报告</w:t>
      </w:r>
      <w:r>
        <w:rPr>
          <w:rFonts w:ascii="Times New Roman" w:eastAsia="宋体" w:hAnsi="Times New Roman" w:hint="eastAsia"/>
          <w:sz w:val="24"/>
          <w:szCs w:val="24"/>
        </w:rPr>
        <w:t>，全体委员审议了实验室工作报告。</w:t>
      </w:r>
    </w:p>
    <w:p w14:paraId="2E438B5E" w14:textId="4E46B38C" w:rsidR="00804241" w:rsidRDefault="00B05E21" w:rsidP="00296C20">
      <w:pPr>
        <w:spacing w:beforeLines="50" w:before="120" w:line="360" w:lineRule="auto"/>
        <w:jc w:val="center"/>
        <w:rPr>
          <w:rFonts w:ascii="Times New Roman" w:eastAsia="宋体" w:hAnsi="Times New Roman"/>
          <w:sz w:val="24"/>
          <w:szCs w:val="24"/>
        </w:rPr>
      </w:pPr>
      <w:r>
        <w:rPr>
          <w:noProof/>
        </w:rPr>
        <w:lastRenderedPageBreak/>
        <w:drawing>
          <wp:inline distT="0" distB="0" distL="0" distR="0" wp14:anchorId="5EF96958" wp14:editId="7A791454">
            <wp:extent cx="4680000" cy="31198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119812"/>
                    </a:xfrm>
                    <a:prstGeom prst="rect">
                      <a:avLst/>
                    </a:prstGeom>
                    <a:noFill/>
                    <a:ln>
                      <a:noFill/>
                    </a:ln>
                  </pic:spPr>
                </pic:pic>
              </a:graphicData>
            </a:graphic>
          </wp:inline>
        </w:drawing>
      </w:r>
    </w:p>
    <w:p w14:paraId="5D9B545F" w14:textId="68993B43" w:rsidR="00296C20" w:rsidRDefault="00A40F85" w:rsidP="00296C20">
      <w:pPr>
        <w:spacing w:beforeLines="50" w:before="120" w:line="360" w:lineRule="auto"/>
        <w:jc w:val="center"/>
        <w:rPr>
          <w:rFonts w:ascii="Times New Roman" w:eastAsia="宋体" w:hAnsi="Times New Roman"/>
          <w:sz w:val="24"/>
          <w:szCs w:val="24"/>
        </w:rPr>
      </w:pPr>
      <w:r>
        <w:rPr>
          <w:noProof/>
        </w:rPr>
        <w:drawing>
          <wp:inline distT="0" distB="0" distL="0" distR="0" wp14:anchorId="4572DE99" wp14:editId="54137CAD">
            <wp:extent cx="4680000" cy="31198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119812"/>
                    </a:xfrm>
                    <a:prstGeom prst="rect">
                      <a:avLst/>
                    </a:prstGeom>
                    <a:noFill/>
                    <a:ln>
                      <a:noFill/>
                    </a:ln>
                  </pic:spPr>
                </pic:pic>
              </a:graphicData>
            </a:graphic>
          </wp:inline>
        </w:drawing>
      </w:r>
    </w:p>
    <w:p w14:paraId="1D402157" w14:textId="3237B191" w:rsidR="00296C20" w:rsidRDefault="00A40F85" w:rsidP="00296C20">
      <w:pPr>
        <w:spacing w:beforeLines="50" w:before="120" w:line="360" w:lineRule="auto"/>
        <w:jc w:val="center"/>
        <w:rPr>
          <w:rFonts w:ascii="Times New Roman" w:eastAsia="宋体" w:hAnsi="Times New Roman"/>
          <w:sz w:val="24"/>
          <w:szCs w:val="24"/>
        </w:rPr>
      </w:pPr>
      <w:r>
        <w:rPr>
          <w:noProof/>
        </w:rPr>
        <w:lastRenderedPageBreak/>
        <w:drawing>
          <wp:inline distT="0" distB="0" distL="0" distR="0" wp14:anchorId="0287EFC8" wp14:editId="5D6331B8">
            <wp:extent cx="4680000" cy="311981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119812"/>
                    </a:xfrm>
                    <a:prstGeom prst="rect">
                      <a:avLst/>
                    </a:prstGeom>
                    <a:noFill/>
                    <a:ln>
                      <a:noFill/>
                    </a:ln>
                  </pic:spPr>
                </pic:pic>
              </a:graphicData>
            </a:graphic>
          </wp:inline>
        </w:drawing>
      </w:r>
    </w:p>
    <w:p w14:paraId="673B1DDC" w14:textId="77777777" w:rsidR="00384663" w:rsidRDefault="00140213">
      <w:pPr>
        <w:spacing w:beforeLines="50" w:before="120" w:line="360" w:lineRule="auto"/>
        <w:ind w:firstLine="482"/>
        <w:jc w:val="both"/>
        <w:rPr>
          <w:rFonts w:ascii="Times New Roman" w:eastAsia="宋体" w:hAnsi="Times New Roman"/>
          <w:sz w:val="24"/>
          <w:szCs w:val="24"/>
        </w:rPr>
      </w:pPr>
      <w:r>
        <w:rPr>
          <w:rFonts w:ascii="Times New Roman" w:eastAsia="宋体" w:hAnsi="Times New Roman" w:hint="eastAsia"/>
          <w:sz w:val="24"/>
          <w:szCs w:val="24"/>
        </w:rPr>
        <w:t>学术委员会首先肯定了重点实验室的成绩，同时对重点实验室未来的建设提出了许多宝贵的意见。学术委员会表示重点实验室应该充分了解自己的定位和特色，关注基础的科学问题，进一步凝练研究方向，根据不同的电池优缺点，合理布局。加强与外界的联系，整合资源，利用自身的优势，联合外部的企业，实现共同发展。特别是在产学研合作方面，可与相关的校友企业建立联系。对于实验室管理方面，应着重奖励</w:t>
      </w:r>
      <w:r>
        <w:rPr>
          <w:rFonts w:ascii="Times New Roman" w:eastAsia="宋体" w:hAnsi="Times New Roman"/>
          <w:sz w:val="24"/>
          <w:szCs w:val="24"/>
        </w:rPr>
        <w:t>重大</w:t>
      </w:r>
      <w:r>
        <w:rPr>
          <w:rFonts w:ascii="Times New Roman" w:eastAsia="宋体" w:hAnsi="Times New Roman" w:hint="eastAsia"/>
          <w:sz w:val="24"/>
          <w:szCs w:val="24"/>
        </w:rPr>
        <w:t>成果</w:t>
      </w:r>
      <w:r>
        <w:rPr>
          <w:rFonts w:ascii="Times New Roman" w:eastAsia="宋体" w:hAnsi="Times New Roman"/>
          <w:sz w:val="24"/>
          <w:szCs w:val="24"/>
        </w:rPr>
        <w:t>、高水平论文</w:t>
      </w:r>
      <w:r>
        <w:rPr>
          <w:rFonts w:ascii="Times New Roman" w:eastAsia="宋体" w:hAnsi="Times New Roman" w:hint="eastAsia"/>
          <w:sz w:val="24"/>
          <w:szCs w:val="24"/>
        </w:rPr>
        <w:t>，人才是发展的根本，实验室应抓紧培养人才，充分利用校友资源，进一步加大人才队伍的建设，下大力气投入资源。</w:t>
      </w:r>
    </w:p>
    <w:p w14:paraId="61F5665F" w14:textId="77777777" w:rsidR="00384663" w:rsidRDefault="00140213">
      <w:pPr>
        <w:spacing w:beforeLines="50" w:before="120" w:line="360" w:lineRule="auto"/>
        <w:ind w:firstLine="482"/>
        <w:jc w:val="both"/>
        <w:rPr>
          <w:rFonts w:ascii="Times New Roman" w:eastAsia="宋体" w:hAnsi="Times New Roman"/>
          <w:sz w:val="24"/>
          <w:szCs w:val="24"/>
        </w:rPr>
      </w:pPr>
      <w:r>
        <w:rPr>
          <w:rFonts w:ascii="Times New Roman" w:eastAsia="宋体" w:hAnsi="Times New Roman" w:hint="eastAsia"/>
          <w:sz w:val="24"/>
          <w:szCs w:val="24"/>
        </w:rPr>
        <w:t>此次</w:t>
      </w:r>
      <w:r>
        <w:rPr>
          <w:rFonts w:ascii="Times New Roman" w:eastAsia="宋体" w:hAnsi="Times New Roman"/>
          <w:sz w:val="24"/>
          <w:szCs w:val="24"/>
        </w:rPr>
        <w:t>化学电源湖南省重点实验室</w:t>
      </w:r>
      <w:r>
        <w:rPr>
          <w:rFonts w:ascii="Times New Roman" w:eastAsia="宋体" w:hAnsi="Times New Roman" w:hint="eastAsia"/>
          <w:sz w:val="24"/>
          <w:szCs w:val="24"/>
        </w:rPr>
        <w:t>学术委员会</w:t>
      </w:r>
      <w:r>
        <w:rPr>
          <w:rFonts w:ascii="Times New Roman" w:eastAsia="宋体" w:hAnsi="Times New Roman"/>
          <w:sz w:val="24"/>
          <w:szCs w:val="24"/>
        </w:rPr>
        <w:t>研讨会</w:t>
      </w:r>
      <w:r>
        <w:rPr>
          <w:rFonts w:ascii="Times New Roman" w:eastAsia="宋体" w:hAnsi="Times New Roman" w:hint="eastAsia"/>
          <w:sz w:val="24"/>
          <w:szCs w:val="24"/>
        </w:rPr>
        <w:t>及化学电源学术与产业发展论坛在掌声中圆满落幕。</w:t>
      </w:r>
    </w:p>
    <w:p w14:paraId="1E654878" w14:textId="77777777" w:rsidR="00384663" w:rsidRDefault="00140213">
      <w:pPr>
        <w:spacing w:beforeLines="50" w:before="120" w:line="360" w:lineRule="auto"/>
        <w:ind w:firstLine="482"/>
        <w:jc w:val="both"/>
        <w:rPr>
          <w:rFonts w:ascii="Times New Roman" w:eastAsia="宋体" w:hAnsi="Times New Roman"/>
          <w:sz w:val="24"/>
          <w:szCs w:val="24"/>
        </w:rPr>
      </w:pPr>
      <w:r>
        <w:rPr>
          <w:rFonts w:ascii="Times New Roman" w:eastAsia="宋体" w:hAnsi="Times New Roman" w:hint="eastAsia"/>
          <w:sz w:val="24"/>
          <w:szCs w:val="24"/>
        </w:rPr>
        <w:t>附：化学电源湖南省重点实验室立足于国家能源产业的重大需求，围绕“矿物原料加工—电池材料设计与合成—电池器件—废旧电池回收利用”的完整产业研究链，形成了化学电源材料理论与设计、动力型化学电源及关键材料、规模储能型化学电源及关键材料、电池循环经济技术研究等研究方向，成果显著。</w:t>
      </w:r>
      <w:r>
        <w:rPr>
          <w:rFonts w:ascii="Times New Roman" w:eastAsia="宋体" w:hAnsi="Times New Roman"/>
          <w:sz w:val="24"/>
          <w:szCs w:val="24"/>
        </w:rPr>
        <w:t>自</w:t>
      </w:r>
      <w:r>
        <w:rPr>
          <w:rFonts w:ascii="Times New Roman" w:eastAsia="宋体" w:hAnsi="Times New Roman"/>
          <w:sz w:val="24"/>
          <w:szCs w:val="24"/>
        </w:rPr>
        <w:t>2017</w:t>
      </w:r>
      <w:r>
        <w:rPr>
          <w:rFonts w:ascii="Times New Roman" w:eastAsia="宋体" w:hAnsi="Times New Roman"/>
          <w:sz w:val="24"/>
          <w:szCs w:val="24"/>
        </w:rPr>
        <w:t>年</w:t>
      </w:r>
      <w:r>
        <w:rPr>
          <w:rFonts w:ascii="Times New Roman" w:eastAsia="宋体" w:hAnsi="Times New Roman"/>
          <w:sz w:val="24"/>
          <w:szCs w:val="24"/>
        </w:rPr>
        <w:t>9</w:t>
      </w:r>
      <w:r>
        <w:rPr>
          <w:rFonts w:ascii="Times New Roman" w:eastAsia="宋体" w:hAnsi="Times New Roman"/>
          <w:sz w:val="24"/>
          <w:szCs w:val="24"/>
        </w:rPr>
        <w:t>月立项建设以来，</w:t>
      </w:r>
      <w:r>
        <w:rPr>
          <w:rFonts w:ascii="Times New Roman" w:eastAsia="宋体" w:hAnsi="Times New Roman" w:hint="eastAsia"/>
          <w:sz w:val="24"/>
          <w:szCs w:val="24"/>
        </w:rPr>
        <w:t>在国内外</w:t>
      </w:r>
      <w:r>
        <w:rPr>
          <w:rFonts w:ascii="Times New Roman" w:eastAsia="宋体" w:hAnsi="Times New Roman" w:hint="eastAsia"/>
          <w:sz w:val="24"/>
          <w:szCs w:val="24"/>
        </w:rPr>
        <w:t>S</w:t>
      </w:r>
      <w:r>
        <w:rPr>
          <w:rFonts w:ascii="Times New Roman" w:eastAsia="宋体" w:hAnsi="Times New Roman"/>
          <w:sz w:val="24"/>
          <w:szCs w:val="24"/>
        </w:rPr>
        <w:t>CI</w:t>
      </w:r>
      <w:r>
        <w:rPr>
          <w:rFonts w:ascii="Times New Roman" w:eastAsia="宋体" w:hAnsi="Times New Roman" w:hint="eastAsia"/>
          <w:sz w:val="24"/>
          <w:szCs w:val="24"/>
        </w:rPr>
        <w:t>源刊发</w:t>
      </w:r>
      <w:proofErr w:type="gramStart"/>
      <w:r>
        <w:rPr>
          <w:rFonts w:ascii="Times New Roman" w:eastAsia="宋体" w:hAnsi="Times New Roman" w:hint="eastAsia"/>
          <w:sz w:val="24"/>
          <w:szCs w:val="24"/>
        </w:rPr>
        <w:t>表学术</w:t>
      </w:r>
      <w:proofErr w:type="gramEnd"/>
      <w:r>
        <w:rPr>
          <w:rFonts w:ascii="Times New Roman" w:eastAsia="宋体" w:hAnsi="Times New Roman" w:hint="eastAsia"/>
          <w:sz w:val="24"/>
          <w:szCs w:val="24"/>
        </w:rPr>
        <w:t>论文</w:t>
      </w:r>
      <w:r>
        <w:rPr>
          <w:rFonts w:ascii="Times New Roman" w:eastAsia="宋体" w:hAnsi="Times New Roman" w:hint="eastAsia"/>
          <w:sz w:val="24"/>
          <w:szCs w:val="24"/>
        </w:rPr>
        <w:t>80</w:t>
      </w:r>
      <w:r>
        <w:rPr>
          <w:rFonts w:ascii="Times New Roman" w:eastAsia="宋体" w:hAnsi="Times New Roman" w:hint="eastAsia"/>
          <w:sz w:val="24"/>
          <w:szCs w:val="24"/>
        </w:rPr>
        <w:t>余篇，申请和授权发明专利</w:t>
      </w:r>
      <w:r>
        <w:rPr>
          <w:rFonts w:ascii="Times New Roman" w:eastAsia="宋体" w:hAnsi="Times New Roman" w:hint="eastAsia"/>
          <w:sz w:val="24"/>
          <w:szCs w:val="24"/>
        </w:rPr>
        <w:t>19</w:t>
      </w:r>
      <w:r>
        <w:rPr>
          <w:rFonts w:ascii="Times New Roman" w:eastAsia="宋体" w:hAnsi="Times New Roman" w:hint="eastAsia"/>
          <w:sz w:val="24"/>
          <w:szCs w:val="24"/>
        </w:rPr>
        <w:t>项，实现专利转让</w:t>
      </w:r>
      <w:r>
        <w:rPr>
          <w:rFonts w:ascii="Times New Roman" w:eastAsia="宋体" w:hAnsi="Times New Roman" w:hint="eastAsia"/>
          <w:sz w:val="24"/>
          <w:szCs w:val="24"/>
        </w:rPr>
        <w:t>2</w:t>
      </w:r>
      <w:r>
        <w:rPr>
          <w:rFonts w:ascii="Times New Roman" w:eastAsia="宋体" w:hAnsi="Times New Roman" w:hint="eastAsia"/>
          <w:sz w:val="24"/>
          <w:szCs w:val="24"/>
        </w:rPr>
        <w:t>项，获省部级以上奖励</w:t>
      </w:r>
      <w:r>
        <w:rPr>
          <w:rFonts w:ascii="Times New Roman" w:eastAsia="宋体" w:hAnsi="Times New Roman" w:hint="eastAsia"/>
          <w:sz w:val="24"/>
          <w:szCs w:val="24"/>
        </w:rPr>
        <w:t>2</w:t>
      </w:r>
      <w:r>
        <w:rPr>
          <w:rFonts w:ascii="Times New Roman" w:eastAsia="宋体" w:hAnsi="Times New Roman" w:hint="eastAsia"/>
          <w:sz w:val="24"/>
          <w:szCs w:val="24"/>
        </w:rPr>
        <w:t>项。开展了一系列国内外学术交流和产学研合作工作，培养青年长江学者</w:t>
      </w:r>
      <w:r>
        <w:rPr>
          <w:rFonts w:ascii="Times New Roman" w:eastAsia="宋体" w:hAnsi="Times New Roman" w:hint="eastAsia"/>
          <w:sz w:val="24"/>
          <w:szCs w:val="24"/>
        </w:rPr>
        <w:t>1</w:t>
      </w:r>
      <w:r>
        <w:rPr>
          <w:rFonts w:ascii="Times New Roman" w:eastAsia="宋体" w:hAnsi="Times New Roman" w:hint="eastAsia"/>
          <w:sz w:val="24"/>
          <w:szCs w:val="24"/>
        </w:rPr>
        <w:t>名、湖湘青</w:t>
      </w:r>
      <w:r>
        <w:rPr>
          <w:rFonts w:ascii="Times New Roman" w:eastAsia="宋体" w:hAnsi="Times New Roman" w:hint="eastAsia"/>
          <w:sz w:val="24"/>
          <w:szCs w:val="24"/>
        </w:rPr>
        <w:lastRenderedPageBreak/>
        <w:t>年英才</w:t>
      </w:r>
      <w:r>
        <w:rPr>
          <w:rFonts w:ascii="Times New Roman" w:eastAsia="宋体" w:hAnsi="Times New Roman" w:hint="eastAsia"/>
          <w:sz w:val="24"/>
          <w:szCs w:val="24"/>
        </w:rPr>
        <w:t>2</w:t>
      </w:r>
      <w:r>
        <w:rPr>
          <w:rFonts w:ascii="Times New Roman" w:eastAsia="宋体" w:hAnsi="Times New Roman" w:hint="eastAsia"/>
          <w:sz w:val="24"/>
          <w:szCs w:val="24"/>
        </w:rPr>
        <w:t>名、中国科协青年托举人才</w:t>
      </w:r>
      <w:r>
        <w:rPr>
          <w:rFonts w:ascii="Times New Roman" w:eastAsia="宋体" w:hAnsi="Times New Roman" w:hint="eastAsia"/>
          <w:sz w:val="24"/>
          <w:szCs w:val="24"/>
        </w:rPr>
        <w:t>1</w:t>
      </w:r>
      <w:r>
        <w:rPr>
          <w:rFonts w:ascii="Times New Roman" w:eastAsia="宋体" w:hAnsi="Times New Roman" w:hint="eastAsia"/>
          <w:sz w:val="24"/>
          <w:szCs w:val="24"/>
        </w:rPr>
        <w:t>名，并为国内著名高校和企业培养了</w:t>
      </w:r>
      <w:r>
        <w:rPr>
          <w:rFonts w:ascii="Times New Roman" w:eastAsia="宋体" w:hAnsi="Times New Roman" w:hint="eastAsia"/>
          <w:sz w:val="24"/>
          <w:szCs w:val="24"/>
        </w:rPr>
        <w:t>40</w:t>
      </w:r>
      <w:r>
        <w:rPr>
          <w:rFonts w:ascii="Times New Roman" w:eastAsia="宋体" w:hAnsi="Times New Roman" w:hint="eastAsia"/>
          <w:sz w:val="24"/>
          <w:szCs w:val="24"/>
        </w:rPr>
        <w:t>余名优秀</w:t>
      </w:r>
      <w:r>
        <w:rPr>
          <w:rFonts w:ascii="Times New Roman" w:eastAsia="宋体" w:hAnsi="Times New Roman"/>
          <w:sz w:val="24"/>
          <w:szCs w:val="24"/>
        </w:rPr>
        <w:t>博士，硕士研究生。</w:t>
      </w:r>
    </w:p>
    <w:p w14:paraId="2E99E409" w14:textId="77777777" w:rsidR="00384663" w:rsidRDefault="00384663">
      <w:pPr>
        <w:spacing w:beforeLines="50" w:before="120" w:line="360" w:lineRule="auto"/>
        <w:ind w:firstLine="480"/>
        <w:rPr>
          <w:rFonts w:ascii="宋体" w:eastAsia="宋体" w:hAnsi="宋体"/>
          <w:sz w:val="28"/>
          <w:szCs w:val="28"/>
        </w:rPr>
      </w:pPr>
    </w:p>
    <w:p w14:paraId="60CDE8D6" w14:textId="77777777" w:rsidR="00384663" w:rsidRDefault="00384663">
      <w:pPr>
        <w:spacing w:line="220" w:lineRule="atLeast"/>
        <w:rPr>
          <w:rFonts w:ascii="宋体" w:eastAsia="宋体" w:hAnsi="宋体"/>
          <w:sz w:val="28"/>
          <w:szCs w:val="28"/>
        </w:rPr>
      </w:pPr>
    </w:p>
    <w:sectPr w:rsidR="0038466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ACCEB" w14:textId="77777777" w:rsidR="00B5073F" w:rsidRDefault="00B5073F" w:rsidP="006D5715">
      <w:pPr>
        <w:spacing w:after="0"/>
      </w:pPr>
      <w:r>
        <w:separator/>
      </w:r>
    </w:p>
  </w:endnote>
  <w:endnote w:type="continuationSeparator" w:id="0">
    <w:p w14:paraId="5D3D5726" w14:textId="77777777" w:rsidR="00B5073F" w:rsidRDefault="00B5073F" w:rsidP="006D57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A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9D730" w14:textId="77777777" w:rsidR="00B5073F" w:rsidRDefault="00B5073F" w:rsidP="006D5715">
      <w:pPr>
        <w:spacing w:after="0"/>
      </w:pPr>
      <w:r>
        <w:separator/>
      </w:r>
    </w:p>
  </w:footnote>
  <w:footnote w:type="continuationSeparator" w:id="0">
    <w:p w14:paraId="61931D20" w14:textId="77777777" w:rsidR="00B5073F" w:rsidRDefault="00B5073F" w:rsidP="006D571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84663"/>
    <w:rsid w:val="00046F30"/>
    <w:rsid w:val="001256E9"/>
    <w:rsid w:val="001267EC"/>
    <w:rsid w:val="00140213"/>
    <w:rsid w:val="0014654B"/>
    <w:rsid w:val="00241838"/>
    <w:rsid w:val="00296C20"/>
    <w:rsid w:val="002B4F62"/>
    <w:rsid w:val="00384663"/>
    <w:rsid w:val="0055759F"/>
    <w:rsid w:val="006B0EDD"/>
    <w:rsid w:val="006D5715"/>
    <w:rsid w:val="00804241"/>
    <w:rsid w:val="0082103E"/>
    <w:rsid w:val="00833928"/>
    <w:rsid w:val="009D2163"/>
    <w:rsid w:val="00A14022"/>
    <w:rsid w:val="00A40F85"/>
    <w:rsid w:val="00B05E21"/>
    <w:rsid w:val="00B5073F"/>
    <w:rsid w:val="00CA3CBC"/>
    <w:rsid w:val="00FE0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34C3F"/>
  <w15:docId w15:val="{542439EC-9E8A-40CB-A872-B664A1A4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微软雅黑" w:hAnsi="Calibri" w:cs="宋体"/>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5715"/>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6D5715"/>
    <w:rPr>
      <w:rFonts w:ascii="Tahoma" w:hAnsi="Tahoma"/>
      <w:sz w:val="18"/>
      <w:szCs w:val="18"/>
    </w:rPr>
  </w:style>
  <w:style w:type="paragraph" w:styleId="a5">
    <w:name w:val="footer"/>
    <w:basedOn w:val="a"/>
    <w:link w:val="a6"/>
    <w:uiPriority w:val="99"/>
    <w:unhideWhenUsed/>
    <w:rsid w:val="006D5715"/>
    <w:pPr>
      <w:tabs>
        <w:tab w:val="center" w:pos="4153"/>
        <w:tab w:val="right" w:pos="8306"/>
      </w:tabs>
    </w:pPr>
    <w:rPr>
      <w:sz w:val="18"/>
      <w:szCs w:val="18"/>
    </w:rPr>
  </w:style>
  <w:style w:type="character" w:customStyle="1" w:styleId="a6">
    <w:name w:val="页脚 字符"/>
    <w:basedOn w:val="a0"/>
    <w:link w:val="a5"/>
    <w:uiPriority w:val="99"/>
    <w:rsid w:val="006D5715"/>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6</Pages>
  <Words>224</Words>
  <Characters>1283</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婧 胡</cp:lastModifiedBy>
  <cp:revision>50</cp:revision>
  <dcterms:created xsi:type="dcterms:W3CDTF">2008-09-11T17:20:00Z</dcterms:created>
  <dcterms:modified xsi:type="dcterms:W3CDTF">2019-06-27T07:21:00Z</dcterms:modified>
</cp:coreProperties>
</file>